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F61E4">
      <w:pPr>
        <w:overflowPunct w:val="0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八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月份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小结</w:t>
      </w:r>
      <w:bookmarkStart w:id="0" w:name="_GoBack"/>
      <w:bookmarkEnd w:id="0"/>
    </w:p>
    <w:p w14:paraId="156FB772">
      <w:pPr>
        <w:widowControl/>
        <w:shd w:val="clear" w:color="auto" w:fill="FFFFFF"/>
        <w:ind w:firstLine="64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消费市场方面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重点围绕暑期消费旺季和“苏超”赛事契机，持续推进“太湖购物节”夏季主题促消费活动。积极落实汽车、家电等消费品以旧换新政策，优化补贴发放流程，激发大宗消费潜力。同时，加强商业综合体达标企业的纳统入库工作，为消费市场持续恢复夯实基础。</w:t>
      </w:r>
    </w:p>
    <w:p w14:paraId="768904A7">
      <w:pPr>
        <w:widowControl/>
        <w:shd w:val="clear" w:color="auto" w:fill="FFFFFF"/>
        <w:ind w:firstLine="64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对外贸易方面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面对外部环境挑战，持续深化“涉美外贸企业服务机制”运行，加强对重点外贸企业的监测与精准服务，协助企业应对订单波动和供应链问题。积极组织企业筹备秋季广交会，并着力推动市场多元化，鼓励企业开拓新兴市场。外贸结构持续优化，一般贸易占比稳步提升。</w:t>
      </w:r>
    </w:p>
    <w:p w14:paraId="3C41FD4C">
      <w:pPr>
        <w:widowControl/>
        <w:shd w:val="clear" w:color="auto" w:fill="FFFFFF"/>
        <w:ind w:firstLine="64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利用外资方面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聚焦推动存量外资企业的利润再投资和增资扩股。通过“敲门行动”深入走访重点外资企业，了解发展诉求，促进项目落地。同时，紧密筹备第四届“太湖论坛”，开展前期客商邀请和项目对接工作，为后续引资蓄力。</w:t>
      </w:r>
    </w:p>
    <w:p w14:paraId="2EABCEE2">
      <w:pPr>
        <w:widowControl/>
        <w:shd w:val="clear" w:color="auto" w:fill="FFFFFF"/>
        <w:ind w:firstLine="64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口岸功能方面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持续推进跨境贸易便利化专项行动，保障硕放机场国际货运航线稳定运营，服务重点企业进出口需求。积极推进进境水果指定监管场地等开放平台的申报建设工作。无锡国际邮件互换局正式启用，国际寄递服务能力得到提升。</w:t>
      </w:r>
    </w:p>
    <w:p w14:paraId="2183DE84">
      <w:pPr>
        <w:widowControl/>
        <w:shd w:val="clear" w:color="auto" w:fill="FFFFFF"/>
        <w:ind w:firstLine="640"/>
        <w:rPr>
          <w:rFonts w:hint="eastAsia" w:ascii="黑体" w:hAnsi="黑体" w:eastAsia="黑体" w:cs="黑体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869"/>
    <w:rsid w:val="003C4869"/>
    <w:rsid w:val="00670091"/>
    <w:rsid w:val="007038DC"/>
    <w:rsid w:val="008607BD"/>
    <w:rsid w:val="008C558A"/>
    <w:rsid w:val="009B01D3"/>
    <w:rsid w:val="00B61320"/>
    <w:rsid w:val="00D92AD6"/>
    <w:rsid w:val="0AA54B23"/>
    <w:rsid w:val="0D3F57BC"/>
    <w:rsid w:val="0E9E6512"/>
    <w:rsid w:val="108366A7"/>
    <w:rsid w:val="11292A0B"/>
    <w:rsid w:val="299F78B6"/>
    <w:rsid w:val="2A3627FA"/>
    <w:rsid w:val="376F203C"/>
    <w:rsid w:val="3DAB4E4A"/>
    <w:rsid w:val="43387F55"/>
    <w:rsid w:val="46181AA8"/>
    <w:rsid w:val="539A429C"/>
    <w:rsid w:val="54A454D1"/>
    <w:rsid w:val="57376AD1"/>
    <w:rsid w:val="65CD2ADA"/>
    <w:rsid w:val="74F84AD8"/>
    <w:rsid w:val="785B5D23"/>
    <w:rsid w:val="7F912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title-vavzpg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464</Words>
  <Characters>464</Characters>
  <Lines>7</Lines>
  <Paragraphs>2</Paragraphs>
  <TotalTime>8</TotalTime>
  <ScaleCrop>false</ScaleCrop>
  <LinksUpToDate>false</LinksUpToDate>
  <CharactersWithSpaces>464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2025-02-07T06:16:00Z</dcterms:created>
  <dc:creator>User</dc:creator>
  <cp:lastModifiedBy>悠悠我心</cp:lastModifiedBy>
  <dcterms:modified xsi:type="dcterms:W3CDTF">2025-11-05T01:46:29Z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eyJoZGlkIjoiYTUxYTdiOTQ5ZGNiYmJhNjg4ZDUzNDIxYTQxZWM2NzciLCJ1c2VySWQiOiIxMDUzMjA4MTcxIn0=</vt:lpwstr>
  </property>
  <property fmtid="{D5CDD505-2E9C-101B-9397-08002B2CF9AE}" pid="3" name="KSOProductBuildVer">
    <vt:lpwstr>2052-12.1.0.23125</vt:lpwstr>
  </property>
  <property fmtid="{D5CDD505-2E9C-101B-9397-08002B2CF9AE}" pid="4" name="ICV">
    <vt:lpwstr>FFE56EADA93D464FBA2B40585C355F1B_12</vt:lpwstr>
  </property>
</Properties>
</file>